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D7A" w:rsidRDefault="00FC5FF1" w:rsidP="00F56D7A">
      <w:pPr>
        <w:spacing w:line="500" w:lineRule="exact"/>
        <w:ind w:firstLineChars="200" w:firstLine="48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附表</w:t>
      </w:r>
      <w:r w:rsidR="00FA4DD7">
        <w:rPr>
          <w:rFonts w:ascii="Times New Roman" w:hAnsi="Times New Roman" w:hint="eastAsia"/>
          <w:b/>
          <w:sz w:val="24"/>
        </w:rPr>
        <w:t>3</w:t>
      </w:r>
      <w:r>
        <w:rPr>
          <w:rFonts w:ascii="Times New Roman" w:hAnsi="Times New Roman" w:hint="eastAsia"/>
          <w:b/>
          <w:sz w:val="24"/>
        </w:rPr>
        <w:t xml:space="preserve"> </w:t>
      </w:r>
      <w:r w:rsidR="00F56D7A">
        <w:rPr>
          <w:rFonts w:ascii="Times New Roman" w:hAnsi="Times New Roman"/>
          <w:b/>
          <w:sz w:val="24"/>
        </w:rPr>
        <w:t xml:space="preserve"> </w:t>
      </w:r>
      <w:r w:rsidR="00F56D7A">
        <w:rPr>
          <w:rFonts w:ascii="Times New Roman" w:hAnsi="Times New Roman"/>
          <w:b/>
          <w:sz w:val="24"/>
        </w:rPr>
        <w:t>建设项目地表水环境影响评价自查表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948"/>
        <w:gridCol w:w="1199"/>
        <w:gridCol w:w="791"/>
        <w:gridCol w:w="353"/>
        <w:gridCol w:w="1699"/>
        <w:gridCol w:w="138"/>
        <w:gridCol w:w="135"/>
        <w:gridCol w:w="1113"/>
        <w:gridCol w:w="167"/>
        <w:gridCol w:w="971"/>
        <w:gridCol w:w="1152"/>
      </w:tblGrid>
      <w:tr w:rsidR="00F56D7A" w:rsidRPr="00106865" w:rsidTr="000F751A">
        <w:tc>
          <w:tcPr>
            <w:tcW w:w="1378" w:type="dxa"/>
            <w:gridSpan w:val="2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工作内容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自查项目</w:t>
            </w:r>
          </w:p>
        </w:tc>
      </w:tr>
      <w:tr w:rsidR="00F56D7A" w:rsidRPr="00106865" w:rsidTr="000F751A">
        <w:tc>
          <w:tcPr>
            <w:tcW w:w="430" w:type="dxa"/>
            <w:vMerge w:val="restart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影</w:t>
            </w:r>
          </w:p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响</w:t>
            </w:r>
          </w:p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识</w:t>
            </w:r>
          </w:p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别</w:t>
            </w: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影响类型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水污染影响型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；水文要素影响型</w:t>
            </w:r>
            <w:r w:rsidR="00FA4DD7" w:rsidRPr="00106865">
              <w:rPr>
                <w:rFonts w:ascii="Times New Roman" w:hAnsi="Times New Roman"/>
                <w:kern w:val="0"/>
                <w:szCs w:val="21"/>
                <w:bdr w:val="single" w:sz="4" w:space="0" w:color="auto"/>
              </w:rPr>
              <w:t>√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水环境保护目标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饮用水水源保护区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；饮用水取水口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；涉水的自然保护区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重要湿地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；重点保护与珍稀水生生物的栖息地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；重要水生生物的自然产卵场及索饵场、越冬场和洄游通道、天然渔场等渔业水体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涉水的风景名胜区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影响途径</w:t>
            </w: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水文要素影响型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直接排放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；间接排放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水温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；径流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；水域面积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影响因子</w:t>
            </w: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持久性污染物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；有毒有害污染物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；非持久性污染物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pH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值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热污染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；富营养化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水温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；水位（水深）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；流速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；流量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□</w:t>
            </w:r>
          </w:p>
        </w:tc>
      </w:tr>
      <w:tr w:rsidR="00F56D7A" w:rsidRPr="00106865" w:rsidTr="000F751A">
        <w:tc>
          <w:tcPr>
            <w:tcW w:w="1378" w:type="dxa"/>
            <w:gridSpan w:val="2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评价等级</w:t>
            </w: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水文要素影响型</w:t>
            </w:r>
          </w:p>
        </w:tc>
      </w:tr>
      <w:tr w:rsidR="00F56D7A" w:rsidRPr="00106865" w:rsidTr="000F751A">
        <w:tc>
          <w:tcPr>
            <w:tcW w:w="1378" w:type="dxa"/>
            <w:gridSpan w:val="2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一级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；二级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；三级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A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；三级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B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一级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；二级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；三级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现状调查</w:t>
            </w:r>
          </w:p>
        </w:tc>
        <w:tc>
          <w:tcPr>
            <w:tcW w:w="948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区域污染源</w:t>
            </w:r>
          </w:p>
        </w:tc>
        <w:tc>
          <w:tcPr>
            <w:tcW w:w="4180" w:type="dxa"/>
            <w:gridSpan w:val="5"/>
            <w:tcBorders>
              <w:bottom w:val="single" w:sz="4" w:space="0" w:color="auto"/>
            </w:tcBorders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调查项目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数据来源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tcBorders>
              <w:right w:val="single" w:sz="4" w:space="0" w:color="auto"/>
            </w:tcBorders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已建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；在建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拟建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拟替代的污染源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  <w:tc>
          <w:tcPr>
            <w:tcW w:w="3538" w:type="dxa"/>
            <w:gridSpan w:val="5"/>
            <w:tcBorders>
              <w:left w:val="single" w:sz="4" w:space="0" w:color="auto"/>
            </w:tcBorders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排污许可证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；环评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环保验收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；既有实测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现场监测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；入河排放</w:t>
            </w:r>
            <w:proofErr w:type="gramStart"/>
            <w:r w:rsidRPr="00106865">
              <w:rPr>
                <w:rFonts w:ascii="Times New Roman" w:hAnsi="Times New Roman"/>
                <w:kern w:val="0"/>
                <w:szCs w:val="21"/>
              </w:rPr>
              <w:t>口数据</w:t>
            </w:r>
            <w:proofErr w:type="gramEnd"/>
            <w:r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受影响水体水环境质量</w:t>
            </w:r>
          </w:p>
        </w:tc>
        <w:tc>
          <w:tcPr>
            <w:tcW w:w="4180" w:type="dxa"/>
            <w:gridSpan w:val="5"/>
            <w:tcBorders>
              <w:top w:val="single" w:sz="4" w:space="0" w:color="auto"/>
            </w:tcBorders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数据来源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丰水期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；平水期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；枯水期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冰封期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春季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；夏季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；秋季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；冬季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生态环境保护主管部门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补充监测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Pr="00106865">
              <w:rPr>
                <w:rFonts w:ascii="Times New Roman" w:hAnsi="Times New Roman"/>
                <w:kern w:val="0"/>
                <w:szCs w:val="21"/>
                <w:bdr w:val="single" w:sz="4" w:space="0" w:color="auto"/>
              </w:rPr>
              <w:t>√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区域水资源开发利用状况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未开发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；开发量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40%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以下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；开发量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40%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以上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水文情势调查</w:t>
            </w: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数据来源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丰水期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；平水期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；枯水期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冰封期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春季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；夏季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；秋季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；冬季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  <w:tc>
          <w:tcPr>
            <w:tcW w:w="3538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水行政主管部门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补充监测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补充监测</w:t>
            </w: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监测时期</w:t>
            </w:r>
          </w:p>
        </w:tc>
        <w:tc>
          <w:tcPr>
            <w:tcW w:w="1415" w:type="dxa"/>
            <w:gridSpan w:val="3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监测因子</w:t>
            </w:r>
          </w:p>
        </w:tc>
        <w:tc>
          <w:tcPr>
            <w:tcW w:w="2123" w:type="dxa"/>
            <w:gridSpan w:val="2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监测断面或点位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丰水期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；平水期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；枯水期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冰封期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春季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；夏季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；秋季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；冬季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  <w:tc>
          <w:tcPr>
            <w:tcW w:w="1415" w:type="dxa"/>
            <w:gridSpan w:val="3"/>
            <w:vAlign w:val="center"/>
          </w:tcPr>
          <w:p w:rsidR="00F56D7A" w:rsidRPr="00106865" w:rsidRDefault="00F56D7A" w:rsidP="000F751A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123" w:type="dxa"/>
            <w:gridSpan w:val="2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监测断面或点位个数（</w:t>
            </w:r>
            <w:r w:rsidR="00FA4DD7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  <w:proofErr w:type="gramStart"/>
            <w:r w:rsidRPr="00106865">
              <w:rPr>
                <w:rFonts w:ascii="Times New Roman" w:hAnsi="Times New Roman"/>
                <w:kern w:val="0"/>
                <w:szCs w:val="21"/>
              </w:rPr>
              <w:t>个</w:t>
            </w:r>
            <w:proofErr w:type="gramEnd"/>
          </w:p>
        </w:tc>
      </w:tr>
      <w:tr w:rsidR="00F56D7A" w:rsidRPr="00106865" w:rsidTr="000F751A">
        <w:tc>
          <w:tcPr>
            <w:tcW w:w="430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现状评价</w:t>
            </w:r>
          </w:p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评价范围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河流：长度（</w:t>
            </w:r>
            <w:r w:rsidR="00FA4DD7">
              <w:rPr>
                <w:rFonts w:ascii="Times New Roman" w:hAnsi="Times New Roman" w:hint="eastAsia"/>
                <w:kern w:val="0"/>
                <w:szCs w:val="21"/>
              </w:rPr>
              <w:t>10.2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km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；湖库、河口及近岸海域：面积（）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km</w:t>
            </w:r>
            <w:r w:rsidRPr="003D54C0">
              <w:rPr>
                <w:rFonts w:ascii="Times New Roman" w:hAnsi="Times New Roman"/>
                <w:kern w:val="0"/>
                <w:szCs w:val="21"/>
                <w:vertAlign w:val="superscript"/>
              </w:rPr>
              <w:t>2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评价因子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FA4DD7" w:rsidRDefault="00FA4DD7" w:rsidP="000F751A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FA4DD7">
              <w:rPr>
                <w:rFonts w:ascii="Times New Roman" w:hAnsi="Times New Roman"/>
                <w:szCs w:val="21"/>
              </w:rPr>
              <w:t>pH</w:t>
            </w:r>
            <w:r w:rsidRPr="00FA4DD7">
              <w:rPr>
                <w:rFonts w:ascii="Times New Roman"/>
                <w:szCs w:val="21"/>
              </w:rPr>
              <w:t>、</w:t>
            </w:r>
            <w:r w:rsidRPr="00FA4DD7">
              <w:rPr>
                <w:rFonts w:ascii="Times New Roman" w:hint="eastAsia"/>
                <w:szCs w:val="21"/>
              </w:rPr>
              <w:t>COD</w:t>
            </w:r>
            <w:r w:rsidRPr="00FA4DD7">
              <w:rPr>
                <w:rFonts w:ascii="Times New Roman"/>
                <w:szCs w:val="21"/>
              </w:rPr>
              <w:t>、</w:t>
            </w:r>
            <w:r w:rsidRPr="00FA4DD7">
              <w:rPr>
                <w:rFonts w:ascii="Times New Roman" w:hint="eastAsia"/>
                <w:szCs w:val="21"/>
              </w:rPr>
              <w:t>BOD</w:t>
            </w:r>
            <w:r w:rsidRPr="00FA4DD7">
              <w:rPr>
                <w:rFonts w:ascii="Times New Roman" w:hint="eastAsia"/>
                <w:szCs w:val="21"/>
                <w:vertAlign w:val="subscript"/>
              </w:rPr>
              <w:t>5</w:t>
            </w:r>
            <w:r w:rsidRPr="00FA4DD7">
              <w:rPr>
                <w:rFonts w:ascii="Times New Roman"/>
                <w:szCs w:val="21"/>
              </w:rPr>
              <w:t>、</w:t>
            </w:r>
            <w:r w:rsidRPr="00FA4DD7">
              <w:rPr>
                <w:rFonts w:ascii="Times New Roman" w:hint="eastAsia"/>
                <w:szCs w:val="21"/>
              </w:rPr>
              <w:t>NH</w:t>
            </w:r>
            <w:r w:rsidRPr="00FA4DD7">
              <w:rPr>
                <w:rFonts w:ascii="Times New Roman" w:hint="eastAsia"/>
                <w:szCs w:val="21"/>
                <w:vertAlign w:val="subscript"/>
              </w:rPr>
              <w:t>3</w:t>
            </w:r>
            <w:r w:rsidRPr="00FA4DD7">
              <w:rPr>
                <w:rFonts w:ascii="Times New Roman" w:hint="eastAsia"/>
                <w:szCs w:val="21"/>
              </w:rPr>
              <w:t>-N</w:t>
            </w:r>
            <w:r w:rsidRPr="00FA4DD7">
              <w:rPr>
                <w:rFonts w:ascii="Times New Roman"/>
                <w:szCs w:val="21"/>
              </w:rPr>
              <w:t>、</w:t>
            </w:r>
            <w:r w:rsidRPr="00FA4DD7">
              <w:rPr>
                <w:rFonts w:ascii="Times New Roman" w:hint="eastAsia"/>
                <w:szCs w:val="21"/>
              </w:rPr>
              <w:t>TP</w:t>
            </w:r>
            <w:r w:rsidRPr="00FA4DD7">
              <w:rPr>
                <w:rFonts w:ascii="Times New Roman"/>
                <w:szCs w:val="21"/>
              </w:rPr>
              <w:t>、</w:t>
            </w:r>
            <w:r w:rsidRPr="00FA4DD7">
              <w:rPr>
                <w:rFonts w:ascii="Times New Roman" w:hint="eastAsia"/>
                <w:szCs w:val="21"/>
              </w:rPr>
              <w:t>DO</w:t>
            </w:r>
            <w:r w:rsidRPr="00FA4DD7">
              <w:rPr>
                <w:rFonts w:ascii="Times New Roman"/>
                <w:szCs w:val="21"/>
              </w:rPr>
              <w:t>、</w:t>
            </w:r>
            <w:r w:rsidRPr="00FA4DD7">
              <w:rPr>
                <w:rFonts w:ascii="Times New Roman" w:hint="eastAsia"/>
                <w:szCs w:val="21"/>
              </w:rPr>
              <w:t>铜、锌、氟化物、砷、汞、铬（六价）、铅、氰化物、石油类</w:t>
            </w:r>
            <w:r w:rsidRPr="00FA4DD7">
              <w:rPr>
                <w:rFonts w:ascii="Times New Roman"/>
                <w:szCs w:val="21"/>
              </w:rPr>
              <w:t>、</w:t>
            </w:r>
            <w:r w:rsidRPr="00FA4DD7">
              <w:rPr>
                <w:rFonts w:ascii="Times New Roman" w:hint="eastAsia"/>
                <w:szCs w:val="21"/>
              </w:rPr>
              <w:t>硫化物、粪大肠菌群、硫酸盐、氯化物、硝酸盐、铁、锰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评价标准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河流、湖库、河口：</w:t>
            </w:r>
            <w:r w:rsidRPr="00106865">
              <w:rPr>
                <w:rFonts w:ascii="宋体" w:hAnsi="宋体" w:cs="宋体" w:hint="eastAsia"/>
                <w:kern w:val="0"/>
                <w:szCs w:val="21"/>
              </w:rPr>
              <w:t>Ⅰ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  <w:r w:rsidRPr="00106865">
              <w:rPr>
                <w:rFonts w:ascii="宋体" w:hAnsi="宋体" w:cs="宋体" w:hint="eastAsia"/>
                <w:kern w:val="0"/>
                <w:szCs w:val="21"/>
              </w:rPr>
              <w:t>Ⅱ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  <w:r w:rsidRPr="00106865">
              <w:rPr>
                <w:rFonts w:ascii="宋体" w:hAnsi="宋体" w:cs="宋体" w:hint="eastAsia"/>
                <w:kern w:val="0"/>
                <w:szCs w:val="21"/>
              </w:rPr>
              <w:t>Ⅲ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  <w:r w:rsidRPr="00106865">
              <w:rPr>
                <w:rFonts w:ascii="宋体" w:hAnsi="宋体" w:cs="宋体" w:hint="eastAsia"/>
                <w:kern w:val="0"/>
                <w:szCs w:val="21"/>
              </w:rPr>
              <w:t>Ⅳ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  <w:r w:rsidRPr="00106865">
              <w:rPr>
                <w:rFonts w:ascii="宋体" w:hAnsi="宋体" w:cs="宋体" w:hint="eastAsia"/>
                <w:kern w:val="0"/>
                <w:szCs w:val="21"/>
              </w:rPr>
              <w:t>Ⅴ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近岸海域：第一类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；第二类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；第三类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；第四类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规划</w:t>
            </w:r>
            <w:proofErr w:type="gramStart"/>
            <w:r w:rsidRPr="00106865">
              <w:rPr>
                <w:rFonts w:ascii="Times New Roman" w:hAnsi="Times New Roman"/>
                <w:kern w:val="0"/>
                <w:szCs w:val="21"/>
              </w:rPr>
              <w:t>年评价</w:t>
            </w:r>
            <w:proofErr w:type="gramEnd"/>
            <w:r w:rsidRPr="00106865">
              <w:rPr>
                <w:rFonts w:ascii="Times New Roman" w:hAnsi="Times New Roman"/>
                <w:kern w:val="0"/>
                <w:szCs w:val="21"/>
              </w:rPr>
              <w:t>标准（）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评价时期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丰水期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；平水期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；枯水期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；冰封期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；春季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；夏季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；秋季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；冬季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评价结论</w:t>
            </w:r>
          </w:p>
        </w:tc>
        <w:tc>
          <w:tcPr>
            <w:tcW w:w="5595" w:type="dxa"/>
            <w:gridSpan w:val="8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水环境功能区或水功能区、近岸海域环境功能区水质达标状况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Pr="00106865">
              <w:rPr>
                <w:rFonts w:ascii="Times New Roman" w:hAnsi="Times New Roman"/>
                <w:kern w:val="0"/>
                <w:szCs w:val="21"/>
                <w:bdr w:val="single" w:sz="4" w:space="0" w:color="auto"/>
              </w:rPr>
              <w:t>√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：达标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；不达标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水环境控制单元或断面水质达标状况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：达标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；不达标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水环境保护目标质量状况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：达标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；不达标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对照断面、控制断面等代表性断面的水质状况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：达标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；不达标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底泥污</w:t>
            </w:r>
            <w:proofErr w:type="gramStart"/>
            <w:r w:rsidRPr="00106865">
              <w:rPr>
                <w:rFonts w:ascii="Times New Roman" w:hAnsi="Times New Roman"/>
                <w:kern w:val="0"/>
                <w:szCs w:val="21"/>
              </w:rPr>
              <w:t>染评价</w:t>
            </w:r>
            <w:proofErr w:type="gramEnd"/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水资源与开发利用程度及其水文情势评价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</w:p>
          <w:p w:rsidR="00F56D7A" w:rsidRPr="00106865" w:rsidRDefault="00F56D7A" w:rsidP="000F751A">
            <w:pPr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水环境质量回顾评价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流域（区域）水资源（包括水能资源）与开发利用总体状况、生态流量管理要求与现状满足程度、建设项目占用水域空间的水流状况与河湖演变状况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</w:p>
        </w:tc>
        <w:tc>
          <w:tcPr>
            <w:tcW w:w="2123" w:type="dxa"/>
            <w:gridSpan w:val="2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达标区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</w:p>
          <w:p w:rsidR="00F56D7A" w:rsidRPr="00106865" w:rsidRDefault="00F56D7A" w:rsidP="000F751A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不达标区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</w:p>
        </w:tc>
      </w:tr>
      <w:tr w:rsidR="00F56D7A" w:rsidRPr="00106865" w:rsidTr="000F751A">
        <w:tc>
          <w:tcPr>
            <w:tcW w:w="430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影响预测</w:t>
            </w: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预测范围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河流：长度（</w:t>
            </w:r>
            <w:r w:rsidR="00FA4DD7">
              <w:rPr>
                <w:rFonts w:ascii="Times New Roman" w:hAnsi="Times New Roman" w:hint="eastAsia"/>
                <w:kern w:val="0"/>
                <w:szCs w:val="21"/>
              </w:rPr>
              <w:t>10.2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km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；湖库、河口及近岸海域：面积（）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km</w:t>
            </w:r>
            <w:r w:rsidRPr="00106865">
              <w:rPr>
                <w:rFonts w:ascii="Times New Roman" w:hAnsi="Times New Roman"/>
                <w:kern w:val="0"/>
                <w:szCs w:val="21"/>
                <w:vertAlign w:val="superscript"/>
              </w:rPr>
              <w:t>2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预测因子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A4DD7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COD</w:t>
            </w:r>
            <w:r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hAnsi="Times New Roman" w:hint="eastAsia"/>
                <w:kern w:val="0"/>
                <w:szCs w:val="21"/>
              </w:rPr>
              <w:t>BOD</w:t>
            </w:r>
            <w:r w:rsidRPr="00FA4DD7">
              <w:rPr>
                <w:rFonts w:ascii="Times New Roman" w:hAnsi="Times New Roman" w:hint="eastAsia"/>
                <w:kern w:val="0"/>
                <w:szCs w:val="21"/>
                <w:vertAlign w:val="subscript"/>
              </w:rPr>
              <w:t>5</w:t>
            </w:r>
            <w:r>
              <w:rPr>
                <w:rFonts w:ascii="Times New Roman" w:hAnsi="Times New Roman" w:hint="eastAsia"/>
                <w:kern w:val="0"/>
                <w:szCs w:val="21"/>
              </w:rPr>
              <w:t>、氨氮、总磷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预测时期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丰水期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；平水期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；枯水期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；冰封期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春季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；夏季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；秋季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；冬季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设计水文条件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预测情景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建设期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；生产运行期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；服务期满后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正常工况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；非正常工况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污染控制和减缓措施方案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；区（流）域环境质量改善目标要求情景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预测方法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数值解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：解析解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导则推荐模式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：其他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影响评价</w:t>
            </w: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水污染控制和水环境影响减缓措施有效性评价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区（流）</w:t>
            </w:r>
            <w:proofErr w:type="gramStart"/>
            <w:r w:rsidRPr="00106865">
              <w:rPr>
                <w:rFonts w:ascii="Times New Roman" w:hAnsi="Times New Roman"/>
                <w:kern w:val="0"/>
                <w:szCs w:val="21"/>
              </w:rPr>
              <w:t>域水环境质量</w:t>
            </w:r>
            <w:proofErr w:type="gramEnd"/>
            <w:r w:rsidRPr="00106865">
              <w:rPr>
                <w:rFonts w:ascii="Times New Roman" w:hAnsi="Times New Roman"/>
                <w:kern w:val="0"/>
                <w:szCs w:val="21"/>
              </w:rPr>
              <w:t>改善目标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；替代削减源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水环境影响评价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排放口混合区外满足水环境管理要求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水环境功能区或水功能区、近岸海域环境功能区水质达标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满足水环境保护目标水域水环境质量要求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水环境控制单元或断面水质达标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满足重点水污染物排放总量控制指标要求，重点行业建设项目，主要污染物排放满足等量或减量替代要求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满足区（流）</w:t>
            </w:r>
            <w:proofErr w:type="gramStart"/>
            <w:r w:rsidRPr="00106865">
              <w:rPr>
                <w:rFonts w:ascii="Times New Roman" w:hAnsi="Times New Roman"/>
                <w:kern w:val="0"/>
                <w:szCs w:val="21"/>
              </w:rPr>
              <w:t>域水环境质量</w:t>
            </w:r>
            <w:proofErr w:type="gramEnd"/>
            <w:r w:rsidRPr="00106865">
              <w:rPr>
                <w:rFonts w:ascii="Times New Roman" w:hAnsi="Times New Roman"/>
                <w:kern w:val="0"/>
                <w:szCs w:val="21"/>
              </w:rPr>
              <w:t>改善目标要求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水文要素影响型建设项目同时应包括水文情势变化评价、主要水文特征值影响评价、生态流量符合性评价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</w:p>
          <w:p w:rsidR="00F56D7A" w:rsidRPr="00106865" w:rsidRDefault="00F56D7A" w:rsidP="000F751A">
            <w:pPr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对于新设或调整入河（湖库、近岸海域）排放口的建设项目，应包括排放口设置的环境合理性评价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  <w:p w:rsidR="00F56D7A" w:rsidRPr="00106865" w:rsidRDefault="00F56D7A" w:rsidP="000F751A">
            <w:pPr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满足生态保护红线、水环境质量底线、资源利用上线和环境准入清单管理要求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污染源排放量核算</w:t>
            </w:r>
          </w:p>
        </w:tc>
        <w:tc>
          <w:tcPr>
            <w:tcW w:w="2343" w:type="dxa"/>
            <w:gridSpan w:val="3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污染物名称</w:t>
            </w:r>
          </w:p>
        </w:tc>
        <w:tc>
          <w:tcPr>
            <w:tcW w:w="3085" w:type="dxa"/>
            <w:gridSpan w:val="4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排放量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/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（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t/a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  <w:tc>
          <w:tcPr>
            <w:tcW w:w="2290" w:type="dxa"/>
            <w:gridSpan w:val="3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排放浓度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/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（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mg/L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 w:val="20"/>
                <w:szCs w:val="21"/>
              </w:rPr>
              <w:t>COD</w:t>
            </w:r>
          </w:p>
        </w:tc>
        <w:tc>
          <w:tcPr>
            <w:tcW w:w="3085" w:type="dxa"/>
            <w:gridSpan w:val="4"/>
            <w:vAlign w:val="center"/>
          </w:tcPr>
          <w:p w:rsidR="00F56D7A" w:rsidRPr="00106865" w:rsidRDefault="00FA4DD7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1"/>
              </w:rPr>
              <w:t>0</w:t>
            </w:r>
          </w:p>
        </w:tc>
        <w:tc>
          <w:tcPr>
            <w:tcW w:w="2290" w:type="dxa"/>
            <w:gridSpan w:val="3"/>
            <w:vAlign w:val="center"/>
          </w:tcPr>
          <w:p w:rsidR="00F56D7A" w:rsidRPr="00106865" w:rsidRDefault="00FA4DD7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1"/>
              </w:rPr>
              <w:t>0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 w:val="20"/>
                <w:szCs w:val="21"/>
              </w:rPr>
              <w:t>氨氮</w:t>
            </w:r>
          </w:p>
        </w:tc>
        <w:tc>
          <w:tcPr>
            <w:tcW w:w="3085" w:type="dxa"/>
            <w:gridSpan w:val="4"/>
            <w:vAlign w:val="center"/>
          </w:tcPr>
          <w:p w:rsidR="00F56D7A" w:rsidRPr="00106865" w:rsidRDefault="00FA4DD7" w:rsidP="00FC5F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1"/>
              </w:rPr>
              <w:t>0</w:t>
            </w:r>
          </w:p>
        </w:tc>
        <w:tc>
          <w:tcPr>
            <w:tcW w:w="2290" w:type="dxa"/>
            <w:gridSpan w:val="3"/>
            <w:vAlign w:val="center"/>
          </w:tcPr>
          <w:p w:rsidR="00F56D7A" w:rsidRPr="00106865" w:rsidRDefault="00FA4DD7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1"/>
              </w:rPr>
              <w:t>0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替代源排放情况</w:t>
            </w:r>
          </w:p>
        </w:tc>
        <w:tc>
          <w:tcPr>
            <w:tcW w:w="2343" w:type="dxa"/>
            <w:gridSpan w:val="3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污染源名称</w:t>
            </w:r>
          </w:p>
        </w:tc>
        <w:tc>
          <w:tcPr>
            <w:tcW w:w="1699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排污许可证编号</w:t>
            </w:r>
          </w:p>
        </w:tc>
        <w:tc>
          <w:tcPr>
            <w:tcW w:w="1386" w:type="dxa"/>
            <w:gridSpan w:val="3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污染物名称</w:t>
            </w:r>
          </w:p>
        </w:tc>
        <w:tc>
          <w:tcPr>
            <w:tcW w:w="1138" w:type="dxa"/>
            <w:gridSpan w:val="2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排放量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/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（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t/a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  <w:tc>
          <w:tcPr>
            <w:tcW w:w="1152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排放浓度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/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（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mg/L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699" w:type="dxa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86" w:type="dxa"/>
            <w:gridSpan w:val="3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52" w:type="dxa"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生态流量确定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生态流量：一般水期（</w:t>
            </w:r>
            <w:r w:rsidR="00FA4DD7">
              <w:rPr>
                <w:rFonts w:ascii="Times New Roman" w:hAnsi="Times New Roman" w:hint="eastAsia"/>
                <w:kern w:val="0"/>
                <w:szCs w:val="21"/>
              </w:rPr>
              <w:t>非汛期</w:t>
            </w:r>
            <w:r w:rsidR="00FA4DD7">
              <w:rPr>
                <w:rFonts w:ascii="Times New Roman" w:hAnsi="Times New Roman" w:hint="eastAsia"/>
                <w:kern w:val="0"/>
                <w:szCs w:val="21"/>
              </w:rPr>
              <w:t>0.046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m</w:t>
            </w:r>
            <w:r w:rsidRPr="00106865">
              <w:rPr>
                <w:rFonts w:ascii="Times New Roman" w:hAnsi="Times New Roman"/>
                <w:kern w:val="0"/>
                <w:szCs w:val="21"/>
                <w:vertAlign w:val="superscript"/>
              </w:rPr>
              <w:t>3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/s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；鱼类繁殖期（）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m</w:t>
            </w:r>
            <w:r w:rsidRPr="00106865">
              <w:rPr>
                <w:rFonts w:ascii="Times New Roman" w:hAnsi="Times New Roman"/>
                <w:kern w:val="0"/>
                <w:szCs w:val="21"/>
                <w:vertAlign w:val="superscript"/>
              </w:rPr>
              <w:t>3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/s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；其他（</w:t>
            </w:r>
            <w:r w:rsidR="00FA4DD7">
              <w:rPr>
                <w:rFonts w:ascii="Times New Roman" w:hAnsi="Times New Roman" w:hint="eastAsia"/>
                <w:kern w:val="0"/>
                <w:szCs w:val="21"/>
              </w:rPr>
              <w:t>汛期</w:t>
            </w:r>
            <w:r w:rsidR="00FA4DD7">
              <w:rPr>
                <w:rFonts w:ascii="Times New Roman" w:hAnsi="Times New Roman" w:hint="eastAsia"/>
                <w:kern w:val="0"/>
                <w:szCs w:val="21"/>
              </w:rPr>
              <w:t>0.28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m</w:t>
            </w:r>
            <w:r w:rsidRPr="00106865">
              <w:rPr>
                <w:rFonts w:ascii="Times New Roman" w:hAnsi="Times New Roman"/>
                <w:kern w:val="0"/>
                <w:szCs w:val="21"/>
                <w:vertAlign w:val="superscript"/>
              </w:rPr>
              <w:t>3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/s</w:t>
            </w:r>
          </w:p>
          <w:p w:rsidR="00F56D7A" w:rsidRPr="00106865" w:rsidRDefault="00F56D7A" w:rsidP="000F751A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生态水位：一般水期（）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m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；鱼类繁殖期（）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m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；其他（）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m</w:t>
            </w:r>
          </w:p>
        </w:tc>
      </w:tr>
      <w:tr w:rsidR="00F56D7A" w:rsidRPr="00106865" w:rsidTr="000F751A">
        <w:tc>
          <w:tcPr>
            <w:tcW w:w="430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防治措施</w:t>
            </w: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环保措施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污水处理设施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；水文减缓设施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；生态流量保障设施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；区域削减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</w:p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依托其他工程措施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；其他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监测计划</w:t>
            </w:r>
          </w:p>
        </w:tc>
        <w:tc>
          <w:tcPr>
            <w:tcW w:w="1199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/</w:t>
            </w:r>
          </w:p>
        </w:tc>
        <w:tc>
          <w:tcPr>
            <w:tcW w:w="3116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环境质量</w:t>
            </w:r>
          </w:p>
        </w:tc>
        <w:tc>
          <w:tcPr>
            <w:tcW w:w="3403" w:type="dxa"/>
            <w:gridSpan w:val="4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污染源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99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监测方式</w:t>
            </w:r>
          </w:p>
        </w:tc>
        <w:tc>
          <w:tcPr>
            <w:tcW w:w="3116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手动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；自动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；无监测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Pr="00106865">
              <w:rPr>
                <w:rFonts w:ascii="Times New Roman" w:hAnsi="Times New Roman"/>
                <w:kern w:val="0"/>
                <w:szCs w:val="21"/>
                <w:bdr w:val="single" w:sz="4" w:space="0" w:color="auto"/>
              </w:rPr>
              <w:t>√</w:t>
            </w:r>
          </w:p>
        </w:tc>
        <w:tc>
          <w:tcPr>
            <w:tcW w:w="3403" w:type="dxa"/>
            <w:gridSpan w:val="4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手动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t>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；自动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；无监测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99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监测点位</w:t>
            </w:r>
          </w:p>
        </w:tc>
        <w:tc>
          <w:tcPr>
            <w:tcW w:w="3116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/</w:t>
            </w:r>
          </w:p>
        </w:tc>
        <w:tc>
          <w:tcPr>
            <w:tcW w:w="3403" w:type="dxa"/>
            <w:gridSpan w:val="4"/>
            <w:vAlign w:val="center"/>
          </w:tcPr>
          <w:p w:rsidR="00F56D7A" w:rsidRPr="00106865" w:rsidRDefault="00FA4DD7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/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Merge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99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监测因子</w:t>
            </w:r>
          </w:p>
        </w:tc>
        <w:tc>
          <w:tcPr>
            <w:tcW w:w="3116" w:type="dxa"/>
            <w:gridSpan w:val="5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/</w:t>
            </w:r>
          </w:p>
        </w:tc>
        <w:tc>
          <w:tcPr>
            <w:tcW w:w="3403" w:type="dxa"/>
            <w:gridSpan w:val="4"/>
            <w:vAlign w:val="center"/>
          </w:tcPr>
          <w:p w:rsidR="00F56D7A" w:rsidRPr="00106865" w:rsidRDefault="00FA4DD7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/</w:t>
            </w:r>
          </w:p>
        </w:tc>
      </w:tr>
      <w:tr w:rsidR="00F56D7A" w:rsidRPr="00106865" w:rsidTr="000F751A">
        <w:tc>
          <w:tcPr>
            <w:tcW w:w="430" w:type="dxa"/>
            <w:vMerge/>
            <w:vAlign w:val="center"/>
          </w:tcPr>
          <w:p w:rsidR="00F56D7A" w:rsidRPr="00106865" w:rsidRDefault="00F56D7A" w:rsidP="000F751A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48" w:type="dxa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污染物排放清单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A4DD7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/</w:t>
            </w:r>
          </w:p>
        </w:tc>
      </w:tr>
      <w:tr w:rsidR="00F56D7A" w:rsidRPr="00106865" w:rsidTr="000F751A">
        <w:tc>
          <w:tcPr>
            <w:tcW w:w="1378" w:type="dxa"/>
            <w:gridSpan w:val="2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评价结论</w:t>
            </w:r>
          </w:p>
        </w:tc>
        <w:tc>
          <w:tcPr>
            <w:tcW w:w="7718" w:type="dxa"/>
            <w:gridSpan w:val="10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可以接受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</w:t>
            </w:r>
            <w:r w:rsidR="00FA4DD7" w:rsidRPr="00106865">
              <w:rPr>
                <w:rFonts w:ascii="Times New Roman" w:hAnsi="Times New Roman"/>
                <w:kern w:val="0"/>
                <w:szCs w:val="21"/>
              </w:rPr>
              <w:sym w:font="Wingdings 2" w:char="0052"/>
            </w:r>
            <w:bookmarkStart w:id="0" w:name="_GoBack"/>
            <w:bookmarkEnd w:id="0"/>
            <w:r w:rsidRPr="00106865">
              <w:rPr>
                <w:rFonts w:ascii="Times New Roman" w:hAnsi="Times New Roman"/>
                <w:kern w:val="0"/>
                <w:szCs w:val="21"/>
              </w:rPr>
              <w:t>；不可以接受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 xml:space="preserve"> □</w:t>
            </w:r>
          </w:p>
        </w:tc>
      </w:tr>
      <w:tr w:rsidR="00F56D7A" w:rsidRPr="00106865" w:rsidTr="000F751A">
        <w:tc>
          <w:tcPr>
            <w:tcW w:w="9096" w:type="dxa"/>
            <w:gridSpan w:val="12"/>
            <w:vAlign w:val="center"/>
          </w:tcPr>
          <w:p w:rsidR="00F56D7A" w:rsidRPr="00106865" w:rsidRDefault="00F56D7A" w:rsidP="000F751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06865">
              <w:rPr>
                <w:rFonts w:ascii="Times New Roman" w:hAnsi="Times New Roman"/>
                <w:kern w:val="0"/>
                <w:szCs w:val="21"/>
              </w:rPr>
              <w:t>注：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“ □”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为勾选项，可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√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；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“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（）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”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为内容填写项；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“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备注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”</w:t>
            </w:r>
            <w:r w:rsidRPr="00106865">
              <w:rPr>
                <w:rFonts w:ascii="Times New Roman" w:hAnsi="Times New Roman"/>
                <w:kern w:val="0"/>
                <w:szCs w:val="21"/>
              </w:rPr>
              <w:t>为其他补充内容。</w:t>
            </w:r>
          </w:p>
        </w:tc>
      </w:tr>
    </w:tbl>
    <w:p w:rsidR="00C80247" w:rsidRPr="00F56D7A" w:rsidRDefault="00C80247"/>
    <w:sectPr w:rsidR="00C80247" w:rsidRPr="00F56D7A" w:rsidSect="00FC5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E47" w:rsidRDefault="00A26E47" w:rsidP="00F56D7A">
      <w:r>
        <w:separator/>
      </w:r>
    </w:p>
  </w:endnote>
  <w:endnote w:type="continuationSeparator" w:id="0">
    <w:p w:rsidR="00A26E47" w:rsidRDefault="00A26E47" w:rsidP="00F5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E47" w:rsidRDefault="00A26E47" w:rsidP="00F56D7A">
      <w:r>
        <w:separator/>
      </w:r>
    </w:p>
  </w:footnote>
  <w:footnote w:type="continuationSeparator" w:id="0">
    <w:p w:rsidR="00A26E47" w:rsidRDefault="00A26E47" w:rsidP="00F56D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1B7F"/>
    <w:rsid w:val="003D54C0"/>
    <w:rsid w:val="009A1B7F"/>
    <w:rsid w:val="00A26E47"/>
    <w:rsid w:val="00C80247"/>
    <w:rsid w:val="00D54FDB"/>
    <w:rsid w:val="00F56D7A"/>
    <w:rsid w:val="00F83805"/>
    <w:rsid w:val="00FA4DD7"/>
    <w:rsid w:val="00FC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56D7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Char"/>
    <w:uiPriority w:val="99"/>
    <w:unhideWhenUsed/>
    <w:rsid w:val="00F56D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0"/>
    <w:uiPriority w:val="99"/>
    <w:rsid w:val="00F56D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6D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4"/>
    <w:uiPriority w:val="99"/>
    <w:rsid w:val="00F56D7A"/>
    <w:rPr>
      <w:sz w:val="18"/>
      <w:szCs w:val="18"/>
    </w:rPr>
  </w:style>
  <w:style w:type="character" w:styleId="a5">
    <w:name w:val="annotation reference"/>
    <w:qFormat/>
    <w:rsid w:val="00F56D7A"/>
    <w:rPr>
      <w:sz w:val="21"/>
      <w:szCs w:val="21"/>
    </w:rPr>
  </w:style>
  <w:style w:type="character" w:customStyle="1" w:styleId="Char1">
    <w:name w:val="批注文字 Char"/>
    <w:link w:val="a6"/>
    <w:qFormat/>
    <w:rsid w:val="00F56D7A"/>
    <w:rPr>
      <w:szCs w:val="24"/>
    </w:rPr>
  </w:style>
  <w:style w:type="paragraph" w:styleId="a6">
    <w:name w:val="annotation text"/>
    <w:basedOn w:val="a"/>
    <w:link w:val="Char1"/>
    <w:qFormat/>
    <w:rsid w:val="00F56D7A"/>
    <w:pPr>
      <w:jc w:val="left"/>
    </w:pPr>
    <w:rPr>
      <w:rFonts w:asciiTheme="minorHAnsi" w:eastAsiaTheme="minorEastAsia" w:hAnsiTheme="minorHAnsi" w:cstheme="minorBidi"/>
    </w:rPr>
  </w:style>
  <w:style w:type="character" w:customStyle="1" w:styleId="Char10">
    <w:name w:val="批注文字 Char1"/>
    <w:basedOn w:val="a1"/>
    <w:uiPriority w:val="99"/>
    <w:semiHidden/>
    <w:rsid w:val="00F56D7A"/>
    <w:rPr>
      <w:rFonts w:ascii="Calibri" w:eastAsia="宋体" w:hAnsi="Calibri" w:cs="Times New Roman"/>
      <w:szCs w:val="24"/>
    </w:rPr>
  </w:style>
  <w:style w:type="paragraph" w:customStyle="1" w:styleId="Default">
    <w:name w:val="Default"/>
    <w:qFormat/>
    <w:rsid w:val="00F56D7A"/>
    <w:pPr>
      <w:widowControl w:val="0"/>
      <w:autoSpaceDE w:val="0"/>
      <w:autoSpaceDN w:val="0"/>
      <w:adjustRightInd w:val="0"/>
    </w:pPr>
    <w:rPr>
      <w:rFonts w:ascii="宋体" w:eastAsia="宋体" w:hAnsi="Times New Roman" w:cs="Times New Roman" w:hint="eastAsia"/>
      <w:kern w:val="0"/>
      <w:sz w:val="20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F56D7A"/>
    <w:rPr>
      <w:sz w:val="18"/>
      <w:szCs w:val="18"/>
    </w:rPr>
  </w:style>
  <w:style w:type="character" w:customStyle="1" w:styleId="Char2">
    <w:name w:val="批注框文本 Char"/>
    <w:basedOn w:val="a1"/>
    <w:link w:val="a7"/>
    <w:uiPriority w:val="99"/>
    <w:semiHidden/>
    <w:rsid w:val="00F56D7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729F7-A485-494A-A5F8-6CB03C76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347</Words>
  <Characters>1982</Characters>
  <Application>Microsoft Office Word</Application>
  <DocSecurity>0</DocSecurity>
  <Lines>16</Lines>
  <Paragraphs>4</Paragraphs>
  <ScaleCrop>false</ScaleCrop>
  <Company>Sky123.Org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2019-03-26T15:11:00Z</dcterms:created>
  <dcterms:modified xsi:type="dcterms:W3CDTF">2019-10-15T15:48:00Z</dcterms:modified>
</cp:coreProperties>
</file>